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F6" w:rsidRPr="000604F6" w:rsidRDefault="000604F6" w:rsidP="004763EF">
      <w:pPr>
        <w:jc w:val="center"/>
      </w:pPr>
    </w:p>
    <w:p w:rsidR="000604F6" w:rsidRPr="001A5AB4" w:rsidRDefault="004763EF" w:rsidP="004763EF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1A5AB4">
        <w:rPr>
          <w:rFonts w:ascii="Times New Roman" w:hAnsi="Times New Roman" w:cs="Times New Roman"/>
          <w:sz w:val="96"/>
          <w:szCs w:val="96"/>
        </w:rPr>
        <w:t xml:space="preserve"> </w:t>
      </w:r>
      <w:bookmarkStart w:id="0" w:name="_GoBack"/>
      <w:bookmarkEnd w:id="0"/>
      <w:r w:rsidR="001A34C5" w:rsidRPr="001A5AB4">
        <w:rPr>
          <w:rFonts w:ascii="Times New Roman" w:hAnsi="Times New Roman" w:cs="Times New Roman"/>
          <w:i/>
          <w:sz w:val="96"/>
          <w:szCs w:val="96"/>
        </w:rPr>
        <w:t>REFERAT</w:t>
      </w:r>
    </w:p>
    <w:p w:rsidR="000604F6" w:rsidRPr="000604F6" w:rsidRDefault="000604F6" w:rsidP="004763EF">
      <w:pPr>
        <w:jc w:val="center"/>
        <w:rPr>
          <w:i/>
          <w:sz w:val="44"/>
          <w:szCs w:val="44"/>
        </w:rPr>
      </w:pPr>
    </w:p>
    <w:p w:rsidR="000604F6" w:rsidRPr="000604F6" w:rsidRDefault="000604F6" w:rsidP="004763EF">
      <w:pPr>
        <w:jc w:val="center"/>
        <w:rPr>
          <w:i/>
          <w:sz w:val="44"/>
          <w:szCs w:val="44"/>
        </w:rPr>
      </w:pPr>
    </w:p>
    <w:p w:rsidR="005A2EE1" w:rsidRPr="001A5AB4" w:rsidRDefault="001A5AB4" w:rsidP="004763EF">
      <w:pPr>
        <w:jc w:val="center"/>
        <w:rPr>
          <w:b/>
          <w:i/>
          <w:sz w:val="44"/>
          <w:szCs w:val="44"/>
        </w:rPr>
      </w:pPr>
      <w:r w:rsidRPr="001A5AB4">
        <w:rPr>
          <w:b/>
          <w:i/>
          <w:sz w:val="44"/>
          <w:szCs w:val="44"/>
        </w:rPr>
        <w:t xml:space="preserve"> L</w:t>
      </w:r>
      <w:r w:rsidR="001A34C5" w:rsidRPr="001A5AB4">
        <w:rPr>
          <w:b/>
          <w:i/>
          <w:sz w:val="44"/>
          <w:szCs w:val="44"/>
        </w:rPr>
        <w:t>a disciplina</w:t>
      </w:r>
      <w:r w:rsidR="000604F6" w:rsidRPr="001A5AB4">
        <w:rPr>
          <w:b/>
          <w:i/>
          <w:sz w:val="44"/>
          <w:szCs w:val="44"/>
        </w:rPr>
        <w:t>:</w:t>
      </w:r>
    </w:p>
    <w:p w:rsidR="000604F6" w:rsidRPr="000604F6" w:rsidRDefault="000604F6" w:rsidP="004763EF">
      <w:pPr>
        <w:jc w:val="center"/>
        <w:rPr>
          <w:i/>
          <w:sz w:val="44"/>
          <w:szCs w:val="44"/>
        </w:rPr>
      </w:pPr>
      <w:proofErr w:type="gramStart"/>
      <w:r w:rsidRPr="000604F6">
        <w:rPr>
          <w:i/>
          <w:sz w:val="44"/>
          <w:szCs w:val="44"/>
        </w:rPr>
        <w:t>Evoluția Constituționalismului.</w:t>
      </w:r>
      <w:proofErr w:type="gramEnd"/>
      <w:r w:rsidRPr="000604F6">
        <w:rPr>
          <w:i/>
          <w:sz w:val="44"/>
          <w:szCs w:val="44"/>
        </w:rPr>
        <w:t xml:space="preserve"> Aspecte Comparative.</w:t>
      </w:r>
    </w:p>
    <w:p w:rsidR="001A34C5" w:rsidRPr="001A5AB4" w:rsidRDefault="001A5AB4" w:rsidP="004763EF">
      <w:pPr>
        <w:jc w:val="center"/>
        <w:rPr>
          <w:b/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  <w:r w:rsidRPr="001A5AB4">
        <w:rPr>
          <w:b/>
          <w:i/>
          <w:sz w:val="44"/>
          <w:szCs w:val="44"/>
        </w:rPr>
        <w:t>La</w:t>
      </w:r>
      <w:r w:rsidR="001A34C5" w:rsidRPr="001A5AB4">
        <w:rPr>
          <w:b/>
          <w:i/>
          <w:sz w:val="44"/>
          <w:szCs w:val="44"/>
        </w:rPr>
        <w:t xml:space="preserve"> tema:</w:t>
      </w:r>
    </w:p>
    <w:p w:rsidR="004763EF" w:rsidRPr="000604F6" w:rsidRDefault="001A34C5" w:rsidP="001A34C5">
      <w:pPr>
        <w:rPr>
          <w:i/>
          <w:sz w:val="44"/>
          <w:szCs w:val="44"/>
          <w:lang w:val="fr-FR"/>
        </w:rPr>
      </w:pPr>
      <w:r w:rsidRPr="000604F6">
        <w:rPr>
          <w:i/>
          <w:sz w:val="44"/>
          <w:szCs w:val="44"/>
        </w:rPr>
        <w:t xml:space="preserve">       </w:t>
      </w:r>
      <w:r w:rsidR="000604F6" w:rsidRPr="000604F6">
        <w:rPr>
          <w:i/>
          <w:sz w:val="44"/>
          <w:szCs w:val="44"/>
        </w:rPr>
        <w:t xml:space="preserve">       </w:t>
      </w:r>
      <w:r w:rsidRPr="000604F6">
        <w:rPr>
          <w:i/>
          <w:sz w:val="44"/>
          <w:szCs w:val="44"/>
        </w:rPr>
        <w:t xml:space="preserve">  </w:t>
      </w:r>
      <w:r w:rsidR="000604F6" w:rsidRPr="000604F6">
        <w:rPr>
          <w:i/>
          <w:sz w:val="44"/>
          <w:szCs w:val="44"/>
          <w:lang w:val="fr-FR"/>
        </w:rPr>
        <w:t>Constituția Romaniei din 1923</w:t>
      </w:r>
      <w:r w:rsidR="000604F6">
        <w:rPr>
          <w:i/>
          <w:sz w:val="44"/>
          <w:szCs w:val="44"/>
          <w:lang w:val="fr-FR"/>
        </w:rPr>
        <w:t>.</w:t>
      </w:r>
    </w:p>
    <w:p w:rsidR="004763EF" w:rsidRDefault="004763EF" w:rsidP="004763EF">
      <w:pPr>
        <w:rPr>
          <w:sz w:val="44"/>
          <w:szCs w:val="44"/>
        </w:rPr>
      </w:pPr>
    </w:p>
    <w:p w:rsidR="004763EF" w:rsidRDefault="004763EF" w:rsidP="004763EF">
      <w:pPr>
        <w:rPr>
          <w:sz w:val="44"/>
          <w:szCs w:val="44"/>
        </w:rPr>
      </w:pPr>
    </w:p>
    <w:p w:rsidR="004763EF" w:rsidRDefault="004763EF" w:rsidP="004763EF">
      <w:pPr>
        <w:rPr>
          <w:sz w:val="44"/>
          <w:szCs w:val="44"/>
        </w:rPr>
      </w:pPr>
    </w:p>
    <w:p w:rsidR="004763EF" w:rsidRDefault="001A5AB4" w:rsidP="004763EF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A</w:t>
      </w:r>
      <w:proofErr w:type="gramEnd"/>
      <w:r>
        <w:rPr>
          <w:i/>
          <w:sz w:val="32"/>
          <w:szCs w:val="32"/>
        </w:rPr>
        <w:t xml:space="preserve"> efectuat</w:t>
      </w:r>
      <w:r w:rsidR="004763EF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</w:t>
      </w:r>
      <w:r w:rsidR="004763EF">
        <w:rPr>
          <w:i/>
          <w:sz w:val="32"/>
          <w:szCs w:val="32"/>
        </w:rPr>
        <w:t xml:space="preserve">                                                                           A controlat:</w:t>
      </w:r>
    </w:p>
    <w:p w:rsidR="000604F6" w:rsidRPr="004763EF" w:rsidRDefault="004763EF" w:rsidP="000604F6">
      <w:pPr>
        <w:keepNext/>
        <w:widowControl w:val="0"/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Golubenco Igor                                   </w:t>
      </w:r>
      <w:r w:rsidR="000604F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</w:t>
      </w:r>
      <w:r w:rsidR="000604F6" w:rsidRPr="000604F6">
        <w:rPr>
          <w:sz w:val="28"/>
          <w:szCs w:val="28"/>
        </w:rPr>
        <w:t>V.Rusu</w:t>
      </w:r>
      <w:r w:rsidRPr="000604F6">
        <w:rPr>
          <w:sz w:val="28"/>
          <w:szCs w:val="28"/>
        </w:rPr>
        <w:t xml:space="preserve">, </w:t>
      </w:r>
      <w:r w:rsidR="000604F6" w:rsidRPr="000604F6">
        <w:rPr>
          <w:sz w:val="28"/>
          <w:szCs w:val="28"/>
        </w:rPr>
        <w:t>lector universitar</w:t>
      </w:r>
    </w:p>
    <w:p w:rsidR="004763EF" w:rsidRPr="004763EF" w:rsidRDefault="004763EF" w:rsidP="000604F6">
      <w:pPr>
        <w:pStyle w:val="8"/>
        <w:widowControl w:val="0"/>
        <w:jc w:val="left"/>
        <w:rPr>
          <w:i w:val="0"/>
          <w:szCs w:val="28"/>
        </w:rPr>
      </w:pPr>
    </w:p>
    <w:p w:rsidR="001A5AB4" w:rsidRDefault="001A5AB4" w:rsidP="001A34C5">
      <w:pPr>
        <w:jc w:val="center"/>
        <w:rPr>
          <w:i/>
          <w:sz w:val="32"/>
          <w:szCs w:val="32"/>
        </w:rPr>
      </w:pPr>
    </w:p>
    <w:p w:rsidR="004763EF" w:rsidRDefault="001A5AB4" w:rsidP="001A34C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Chisinau, </w:t>
      </w:r>
      <w:r w:rsidR="000604F6">
        <w:rPr>
          <w:i/>
          <w:sz w:val="32"/>
          <w:szCs w:val="32"/>
        </w:rPr>
        <w:t>2014</w:t>
      </w:r>
    </w:p>
    <w:p w:rsidR="001A34C5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lastRenderedPageBreak/>
        <w:t xml:space="preserve">Instituţia liberării de pedeapsa penală îşi are apariţia pentru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ţara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noastră după ce-a de-a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doua conflagraţie mondială şi anume odată cu adoptarea Codului penal al RSSM din 1961. Aici</w:t>
      </w:r>
    </w:p>
    <w:p w:rsidR="001A34C5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observă pentru prima dată cu claritate modalităţi concrete de lib</w:t>
      </w:r>
      <w:r w:rsidR="00DA23B4">
        <w:rPr>
          <w:rFonts w:asciiTheme="majorHAnsi" w:hAnsiTheme="majorHAnsi" w:cs="TimesNewRomanPSMT"/>
          <w:sz w:val="32"/>
          <w:szCs w:val="32"/>
        </w:rPr>
        <w:t xml:space="preserve">erare de pedeapsa penală, care, </w:t>
      </w:r>
      <w:r w:rsidRPr="00025D40">
        <w:rPr>
          <w:rFonts w:asciiTheme="majorHAnsi" w:hAnsiTheme="majorHAnsi" w:cs="TimesNewRomanPSMT"/>
          <w:sz w:val="32"/>
          <w:szCs w:val="32"/>
        </w:rPr>
        <w:t>ulterior, au mai</w:t>
      </w:r>
      <w:r w:rsidR="00DA23B4">
        <w:rPr>
          <w:rFonts w:asciiTheme="majorHAnsi" w:hAnsiTheme="majorHAnsi" w:cs="TimesNewRomanPSMT"/>
          <w:sz w:val="32"/>
          <w:szCs w:val="32"/>
        </w:rPr>
        <w:t xml:space="preserve"> fost completate cu altele noi.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Apariţia instituţiei liberării de pedeapsa penală la jumătatea sec. XX a avut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efect pozitiv</w:t>
      </w:r>
    </w:p>
    <w:p w:rsidR="001A34C5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în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reglementarea relaţiilor juridico-penale, deoarece a dat posibilitate că pentru unele infracţiuni</w:t>
      </w:r>
    </w:p>
    <w:p w:rsidR="001A34C5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uşoare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să se aplice o măsură represivă mai blândă sau chiar să-l exonerze de pedeapsa penală prin</w:t>
      </w:r>
    </w:p>
    <w:p w:rsidR="001A34C5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stabilirea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unui termen de probă. Desigur că, instituţia liberării de pedeapsa penală a fost</w:t>
      </w:r>
    </w:p>
    <w:p w:rsidR="001A34C5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completată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 parcursul deceniilor cu modalităţi noi care reflectau mai bine atitudinea statului</w:t>
      </w:r>
    </w:p>
    <w:p w:rsidR="001A34C5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faţă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cei care au săvârşit infracţiuni cu un pericol mai redus pentru societate. Din cele invocate</w:t>
      </w:r>
    </w:p>
    <w:p w:rsidR="001A34C5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poate spune că instituţia liberării de pedeapsa penală a avut un progres în dezvoltarea</w:t>
      </w:r>
    </w:p>
    <w:p w:rsidR="00274BBD" w:rsidRPr="00025D40" w:rsidRDefault="001A34C5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multitudinii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sale în ultimele decenii ale sec. XX şi începând cu primii ani ai sec. XXI</w:t>
      </w:r>
      <w:r w:rsidR="00274BBD" w:rsidRPr="00025D40">
        <w:rPr>
          <w:rFonts w:asciiTheme="majorHAnsi" w:hAnsiTheme="majorHAnsi" w:cs="TimesNewRomanPSMT"/>
          <w:sz w:val="32"/>
          <w:szCs w:val="32"/>
        </w:rPr>
        <w:t xml:space="preserve"> </w:t>
      </w:r>
      <w:r w:rsidR="00025D40">
        <w:rPr>
          <w:rFonts w:asciiTheme="majorHAnsi" w:hAnsiTheme="majorHAnsi" w:cs="TimesNewRomanPSMT"/>
          <w:sz w:val="32"/>
          <w:szCs w:val="32"/>
        </w:rPr>
        <w:t>O noua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="00274BBD" w:rsidRPr="00025D40">
        <w:rPr>
          <w:rFonts w:asciiTheme="majorHAnsi" w:hAnsiTheme="majorHAnsi" w:cs="TimesNewRomanPSMT"/>
          <w:sz w:val="32"/>
          <w:szCs w:val="32"/>
        </w:rPr>
        <w:t>importanţă deosebită în acest sens, a avut-o adoptarea Codului penal nou al Republicii Moldova,</w:t>
      </w:r>
    </w:p>
    <w:p w:rsidR="00274BBD" w:rsidRPr="00025D40" w:rsidRDefault="00274BBD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în vigoare din 12 iunie 2003, care a sistematizat normele, ce p</w:t>
      </w:r>
      <w:r w:rsidR="00025D40">
        <w:rPr>
          <w:rFonts w:asciiTheme="majorHAnsi" w:hAnsiTheme="majorHAnsi" w:cs="TimesNewRomanPSMT"/>
          <w:sz w:val="32"/>
          <w:szCs w:val="32"/>
        </w:rPr>
        <w:t xml:space="preserve">revăd modalităţile liberării de </w:t>
      </w:r>
      <w:r w:rsidRPr="00025D40">
        <w:rPr>
          <w:rFonts w:asciiTheme="majorHAnsi" w:hAnsiTheme="majorHAnsi" w:cs="TimesNewRomanPSMT"/>
          <w:sz w:val="32"/>
          <w:szCs w:val="32"/>
        </w:rPr>
        <w:t>pedeapsa penală într-un capitol separat, ceea ce în legea penală anterioară nu a fost şi, respectiv, a</w:t>
      </w:r>
    </w:p>
    <w:p w:rsidR="00025D40" w:rsidRPr="00025D40" w:rsidRDefault="00274BBD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invocat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şi modalităţi noi de liberare de pedeapsa penală.</w:t>
      </w:r>
      <w:r w:rsidR="00025D40" w:rsidRPr="00025D40">
        <w:rPr>
          <w:rFonts w:asciiTheme="majorHAnsi" w:hAnsiTheme="majorHAnsi" w:cs="TimesNewRomanPSMT"/>
          <w:sz w:val="32"/>
          <w:szCs w:val="32"/>
        </w:rPr>
        <w:t xml:space="preserve"> Încă de la sfârşitul secolului al XVIII-lea şi începutul s</w:t>
      </w:r>
      <w:r w:rsidR="00025D40">
        <w:rPr>
          <w:rFonts w:asciiTheme="majorHAnsi" w:hAnsiTheme="majorHAnsi" w:cs="TimesNewRomanPSMT"/>
          <w:sz w:val="32"/>
          <w:szCs w:val="32"/>
        </w:rPr>
        <w:t xml:space="preserve">ecolului al XlX-lea în gândirea </w:t>
      </w:r>
      <w:r w:rsidR="00025D40" w:rsidRPr="00025D40">
        <w:rPr>
          <w:rFonts w:asciiTheme="majorHAnsi" w:hAnsiTheme="majorHAnsi" w:cs="TimesNewRomanPSMT"/>
          <w:sz w:val="32"/>
          <w:szCs w:val="32"/>
        </w:rPr>
        <w:t xml:space="preserve">filozofică europeană prinde contur tot mai mult concepţiile cu </w:t>
      </w:r>
      <w:proofErr w:type="gramStart"/>
      <w:r w:rsidR="00025D40" w:rsidRPr="00025D40">
        <w:rPr>
          <w:rFonts w:asciiTheme="majorHAnsi" w:hAnsiTheme="majorHAnsi" w:cs="TimesNewRomanPSMT"/>
          <w:sz w:val="32"/>
          <w:szCs w:val="32"/>
        </w:rPr>
        <w:t>un</w:t>
      </w:r>
      <w:proofErr w:type="gramEnd"/>
      <w:r w:rsidR="00025D40" w:rsidRPr="00025D40">
        <w:rPr>
          <w:rFonts w:asciiTheme="majorHAnsi" w:hAnsiTheme="majorHAnsi" w:cs="TimesNewRomanPSMT"/>
          <w:sz w:val="32"/>
          <w:szCs w:val="32"/>
        </w:rPr>
        <w:t xml:space="preserve"> pronunţat caracter umanist</w:t>
      </w:r>
      <w:r w:rsidR="00025D40">
        <w:rPr>
          <w:rFonts w:asciiTheme="majorHAnsi" w:hAnsiTheme="majorHAnsi" w:cs="TimesNewRomanPSMT"/>
          <w:sz w:val="32"/>
          <w:szCs w:val="32"/>
        </w:rPr>
        <w:t xml:space="preserve"> </w:t>
      </w:r>
      <w:r w:rsidR="00025D40" w:rsidRPr="00025D40">
        <w:rPr>
          <w:rFonts w:asciiTheme="majorHAnsi" w:hAnsiTheme="majorHAnsi" w:cs="TimesNewRomanPSMT"/>
          <w:sz w:val="32"/>
          <w:szCs w:val="32"/>
        </w:rPr>
        <w:t xml:space="preserve">privind scopul pedepsei. Aceste opinii încercau </w:t>
      </w:r>
      <w:proofErr w:type="gramStart"/>
      <w:r w:rsidR="00025D40" w:rsidRPr="00025D40">
        <w:rPr>
          <w:rFonts w:asciiTheme="majorHAnsi" w:hAnsiTheme="majorHAnsi" w:cs="TimesNewRomanPSMT"/>
          <w:sz w:val="32"/>
          <w:szCs w:val="32"/>
        </w:rPr>
        <w:t>să</w:t>
      </w:r>
      <w:proofErr w:type="gramEnd"/>
      <w:r w:rsidR="00025D40" w:rsidRPr="00025D40">
        <w:rPr>
          <w:rFonts w:asciiTheme="majorHAnsi" w:hAnsiTheme="majorHAnsi" w:cs="TimesNewRomanPSMT"/>
          <w:sz w:val="32"/>
          <w:szCs w:val="32"/>
        </w:rPr>
        <w:t xml:space="preserve"> se concentreze nu atât asupra faptei comise, cât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asupra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celor care ar urma, pe această cale, preconizându-se un sistem de preîntâmpinare 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fenomenului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infracţional.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 ase</w:t>
      </w:r>
      <w:r>
        <w:rPr>
          <w:rFonts w:asciiTheme="majorHAnsi" w:hAnsiTheme="majorHAnsi" w:cs="TimesNewRomanPSMT"/>
          <w:sz w:val="32"/>
          <w:szCs w:val="32"/>
        </w:rPr>
        <w:t xml:space="preserve">menea, în aceeaşi perioadă s-au </w:t>
      </w:r>
      <w:r w:rsidRPr="00025D40">
        <w:rPr>
          <w:rFonts w:asciiTheme="majorHAnsi" w:hAnsiTheme="majorHAnsi" w:cs="TimesNewRomanPSMT"/>
          <w:sz w:val="32"/>
          <w:szCs w:val="32"/>
        </w:rPr>
        <w:t>făcut primele teoretizări ale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estimării raportului dintre eficacitatea pedepsei vis-a-vis de gravitatea faptei ilicite.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Din stabilirea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raportului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menţionat a luat naştere ideea conceptualizării pedepselor alternative. Conform DEXului,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noţiunea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„alternativă" înseamnă „posibilitatea de a alege între două soluţii, între două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situaţii etc. care se exclud" [80, p.282]. Este o realitate faptul că formele tradiţionale de protejare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societăţii împotriva criminalităţii nu mai fac faţă; închisorile sunt suprapopulate, pedeapsa cu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închisoarea nu mai are suficientă putere de intimidare a infractorilor şi nici nu conduce la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integrarea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acestora în societate, iar daunele suferite de victimă nu sunt compensate prin hotărârea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pronunţată de instanţă în procesul penal. În special, numărul mare al deţinuţilor a generat o serie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probleme, în esenţă, de natură economică, avându-se în vedere faptul că a fost nevoie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construirea noilor închisori şi mărirea numărului personalului din penitenciare. Practica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demonstrează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că pedepsele privative de libertate au o serie de efecte nedorite cum ar fi influenţa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devastatoare a mediului de detenţie asupra personalităţii individului, întreruperea legăturilor şi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relaţiilor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sale sociale pozitive, poziţia de inferioritate pe care se plasează acesta la eliberarea din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închisoare. Se ştie că timpul scurs după gratii reprezintă mai degrabă o „şcolarizare în domeniul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infracţionalităţii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” şi nu o ocazie de reeducare a infractorului.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În anii ’70 ai sec.XX s-au materializat unele încercări de reformă în aplicarea pedepsei.</w:t>
      </w:r>
      <w:proofErr w:type="gramEnd"/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Deseori, acestea pledau pentru instituirea unor pedepse alternative pedepsei cu închisoarea [36,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p.63-64]. De altfel, şi Congresul al VII-lea de la Milano din 1985 (26 august - 6 septembrie) cu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tema „Prevenirea criminalităţii pentru libertate, justiţie, pace şi dezvoltare” a avut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imbold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considerabil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asupra poziţiei politicii penale. Astfel, </w:t>
      </w:r>
      <w:r w:rsidRPr="00025D40">
        <w:rPr>
          <w:rFonts w:asciiTheme="majorHAnsi" w:hAnsiTheme="majorHAnsi" w:cs="TimesNewRomanPS-ItalicMT"/>
          <w:i/>
          <w:iCs/>
          <w:sz w:val="32"/>
          <w:szCs w:val="32"/>
        </w:rPr>
        <w:t xml:space="preserve">Planul de acţiuni </w:t>
      </w:r>
      <w:r w:rsidRPr="00025D40">
        <w:rPr>
          <w:rFonts w:asciiTheme="majorHAnsi" w:hAnsiTheme="majorHAnsi" w:cs="TimesNewRomanPSMT"/>
          <w:sz w:val="32"/>
          <w:szCs w:val="32"/>
        </w:rPr>
        <w:t>de la Milano prevedea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exploatarea şi încurajarea diverselor forme de participare a comunităţii la prevenirea şi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contracararea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fenomenului criminal, prin crearea alternativelor la detenţie. Printre acestea erau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menţionate atât diversificarea sistemului de sancţiuni alternative închisorii şi adoptarea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sancţiunilor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, precum, avertismentul penal, amânarea nelimitată a pronunţării sentinţei, măsurile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 compensare a victimei, ziua-amendă, munca neremunerată în serviciul comunităţii, cât şi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păstrarea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măsurilor recomandate de modelul curativ ce ţin de suspendarea executării pedepsei,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probaţiune şi alte forme alternative pedepsei cu închisoarea [48, p.14].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Din cele menţionate se obsevă că noua viziune asupra prevenirii şi contracarării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fenomenului infracţional prin prisma aplicării pedepselor alternative şi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măsurilor alternative faţă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persoanele vinovate de săvârşirea unei infracţiuni de o gravitate redusă se rezumă la două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momente.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Astfel, acestea se axează pe pedepsele nonprivative de libertate şi alte măsuri juridicopenale.</w:t>
      </w:r>
      <w:proofErr w:type="gramEnd"/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În litaratura de specialitate cea de-a doua categorie se mai întâlneşte sub denumirea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„alternativele pedepsei” [189, p.123] sau „alternative ale detenţiei” [79, p.295-302], care ar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reprezenta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măsuri juridico-penale altele decât pedeapsa, în care se reflectă şi liberarea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 penală ca o instituţie disctinctă şi alternativă detenţiei. Aşadar, conceptul în cauză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denotă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una dintre cele mai contemporane soluţii optime sau reacţii juridico-penale a soluţionării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conflictului legat de săvârşirea infracţiunii.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În acelaşi timp, nimeni nu pune la îndoială faptul, că persoana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trasă la răspundere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penală pentru o infracţiune şi supusă condamnării prin aplicarea unei pedepse penale, prevăzute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legea penală, principiu universal care reiese din prevederile art.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29 al Declaraţiei Universale 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Drepturilor Omului.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Urmare căruia se stabileşte că, în realizarea drepturilor şi libertăţilor sale,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fiecare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om trebuie să fie supus doar acelor limitări, care sunt determinate strict prin lege şi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exclusiv în scopul asigurării recunoaşterii şi respectării drepturilor şi libertăţilor altor persoane,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satisfacerii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cerinţelor morale, a normelor de comportare şi a bunăstării generale într-o societate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democratică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[70]. Din punct de vedere logic, însăşi faptul săvârşirii infracţiunii şi tragerii la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răspundere penală ar înseamna inevitabilitatea aplicării pedepsei penale şi executării acesteia, însă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aceasta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în realitate poate să nu aibă loc, dacă instanţele de judecată găsesc de cuviinţă de a aplica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instituţia liberării de pedeapsa penală. Prezenţa mai multor forme de realizare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răspunderii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penale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 permis legislatorului să prevadă un şir de împrejurări în care poate fi aplicată liberarea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 penală. După importanţa juridico-penală aceste împrejurări se echivalează cu ispăşirea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pedepsei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. În prezent, legislaţia penală fixează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şir de împrejurări care condiţionează liberarea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 penală. Susţinem pe deplin afirmaţiile autorilor Козаченко И.Я. şi Незнамова З.А. că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instituţia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liberării de pedeapsa penală se reflectă printre formele ralizării răspunderii penale şi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care se pot echivala cu o ispăşire a pedepsei penale [197, p.434]. Desigur, instituţia liberării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pedeapsa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penală este absorbită de instituţia liberării de răspundere penală, deoarece este vorba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parte din întreg, astfel procesul tragerii la răspundere penală cuprinde cu desăvârşire instituţia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pedeapsa penală. Or, datorită criteriilor de individualizare a pedepsei penale se poate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ajunge la o aplicare a unei astfel de instituţii pentru persoanele care se fac vinovate de o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infracţiune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cu o gravitate redusă a periculozităţii sociale. Totodată, ţinem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menţionăm că,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răspunderea penală reprezintă o condamnare publică a faptei săvârşite de făptuitor şi care poate fi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precedată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pedeapsa penală. Pe când în cazul liberării de pedeapsa penală, ca fază de realizare 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răspunderii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penale, după condamnarea publică urmează a se hotărî asupra stabilirii sau nu 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pedepsei penale şi a liberării de aceasta.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 xml:space="preserve">După cum rezultă din actele normative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internaţionale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instituţia liberării de pedeapsa penală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 calitate de alternativă la închisoare se aplică ca rezultat al supraaglomerării insituţiilor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penitenciarelor [137], stimulării implementării regulamentului european privind sancţiunile şi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măsurile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comunitare [138], supravegherii condamnaţilor condiţionali sau a infractorilor liberaţi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condiţional [51], problemelor maladiilor înrudite în penitenciar şi posibilitatea acordării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tratamentului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cuvenit în mediul social prin intermediul liberării de pedeapsă înainte de termen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[135], precum şi a aspeсtelor etice şi organizatorice ce ţin de ocrotirea sănătăţii în penitenciare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[136] în care se invocă posibilitatea liberării înainte de termen sau amnistierea din motive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medicale.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Caracteristicile specifice instituţiei liberării de pedeapsa penală enunţate determină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aprecierea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importanţei şi locului său în cadrul răspunderii penale, prin care face ca abordările, în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acest sens, să fie realiste şi pline de argumentare. Urmare acestui fapt rezultă că instituţia liberării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de pedeapsa penală îşi are o susţinere internaţională ca alternativă a pedepselor penale, urmăreşte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atingerea scopului prevenirii săvârşirii infracţiunilor prin acordarea posibilităţii condamnatului depedepsei mai departe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către condamnat în cazul în care condamnatul a păşit ferm pe calea corectării [163, p.37] etc.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Asupra definirii instituţiei liberării de pedeapsa penală autorii în domeniu se pronunţă cu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desăfârşire, stabilind importanţa şi conţinutul acesteia în sistemul măsurilor juridico-penale care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operează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la atingerea scopului legii penale, pedepsei penale şi a principiilor dreptului penal. În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acest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sens, dicţionarul juridic defineşte liberarea de pedeapsa penală ca fiind acea instituţie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drept penal, procesual-penal şi execuţional penal, care prevede temeiurile, ordinea şi condiţiile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neaplicării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pedepsei penale sau a liberării de mai departe a executării pedepsei total sau </w:t>
      </w:r>
      <w:r>
        <w:rPr>
          <w:rFonts w:asciiTheme="majorHAnsi" w:hAnsiTheme="majorHAnsi" w:cs="TimesNewRomanPSMT"/>
          <w:sz w:val="32"/>
          <w:szCs w:val="32"/>
        </w:rPr>
        <w:t xml:space="preserve">partial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[175]. O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altă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opinie cu privire la instituţia menţionată, în viziunea autorilor Кудрявцев В.Н. şi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Наумова А.В., ar reprezenta o instituţie a dreptului penal de sine stătătoare, prevăzută de normele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juridice din codul penal, în conformitate cu care persoana fiind recunoscută vinovată în săvârşirea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infracţiunii de către instanţa de judecată şi urmată de pedeapsa penală, este liberată de executarea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reală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 pedepsei sau liberată de executarea de mai departe a pedepsei penale [198, p.383-384]. În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viziunea autorilor Яцеленко Б.В. şi Боровикова В.Б., liberarea de pedeapsa penală reprezintă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condamnatului de la pedeapsa numită, prin excluderea executării ei sau liberarea de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 penală înainte de termenul executării complete a ei, în cazul când scopurile pedepsei pot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fi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atinse fără aplicarea acesteia, sau executarea în continuare a ei or aplicarea pedepsei nu este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raţională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[236, p.28].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Din definiţiile expuse mai sus, considerăm că,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acestea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elucidează instituţia liberării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pedeapsa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penală, însă până la urmă nu determină totalitatea particilarităţilor ei. Astfel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,</w:t>
      </w:r>
      <w:r>
        <w:rPr>
          <w:rFonts w:asciiTheme="majorHAnsi" w:hAnsiTheme="majorHAnsi" w:cs="TimesNewRomanPSMT"/>
          <w:sz w:val="32"/>
          <w:szCs w:val="32"/>
        </w:rPr>
        <w:t xml:space="preserve">  </w:t>
      </w:r>
      <w:r w:rsidRPr="00025D40">
        <w:rPr>
          <w:rFonts w:asciiTheme="majorHAnsi" w:hAnsiTheme="majorHAnsi" w:cs="TimesNewRomanPSMT"/>
          <w:sz w:val="32"/>
          <w:szCs w:val="32"/>
        </w:rPr>
        <w:t>considerăm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că, liberarea de pedeapsa penală reprezintă o instituţie pluriramurală, care determină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condiţiile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în care persoana condamnată pentru infracţiune este liberată de pedeapsa penală parţial,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real sau total. Astfel, în argumentarea ideei expuse susţinem următoarele: liberarea de pedeapsa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penală reprezintă o instituţie de drept penal, reişind din faptul că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norma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materială ce prevede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această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instituţie, cu modalităţile sale, este prevăzută în CP al RM într-un capitol separat de alte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instituţii de drept penal şi care stabileşte esenţa acestei instituţii prin specificarea prevederilor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legale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ce trebuiesc întrunite pentru a putea fi aplicată. Numai în urma stabilirii exacte a întrunii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condiţiilor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se referă la una sau alta dintre modalităţile liberării de pedeapsa penală instanţa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judecată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poate aplica această instituţie şi numai în măsura în care ea poate contribui la corectarea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şi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reeducarea persoanei vinovate de o infracţiune în regim de libertate.</w:t>
      </w:r>
      <w:r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Cât priveşte reprezentarea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ca instituţie execuţional penală, în argumentarea acestei idei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ne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poate servi faptul că, reflectarea ei este evidentă în CE RM prin prevederile cap. XXVI,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care</w:t>
      </w:r>
      <w:r>
        <w:rPr>
          <w:rFonts w:asciiTheme="majorHAnsi" w:hAnsiTheme="majorHAnsi" w:cs="TimesNewRomanPSMT"/>
          <w:sz w:val="32"/>
          <w:szCs w:val="32"/>
        </w:rPr>
        <w:t xml:space="preserve">  </w:t>
      </w:r>
      <w:r w:rsidRPr="00025D40">
        <w:rPr>
          <w:rFonts w:asciiTheme="majorHAnsi" w:hAnsiTheme="majorHAnsi" w:cs="TimesNewRomanPSMT"/>
          <w:sz w:val="32"/>
          <w:szCs w:val="32"/>
        </w:rPr>
        <w:t>serveşte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drept reper de stabilire a acţiunilor ce urmează a fi întreprinse de către instituţiile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penitenciare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şi oficiile de executare privind punerea în executare a acestora. Astfel, prevedrile în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cauză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stabilesc condiţiile cu privire la înaintarea unui demers în vederea liberării condiţionate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pedeapsă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înainte de termen sau a înlocuirii părţii neexecutate din pedeapsă cu o pedeapsă mai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blândă, amânării executării pedepsei potrivit prevederilor art. 96 CP, prelungirii termenului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aflare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 persoanei în instituţia specială de învăţământ şi de reeducare sau în instituţia curativă şi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reeducare, liberării de la executarea pedepsei a persoanelor grav bolnave şi, nu în ultimul rând,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 modalităţii supravegherii condamnaţilor după liberarea de pedeapsa penală.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În cele din urmă instituţia liberării de pedeapsa penală se reflectă şi în legea procesual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penală a RM, care stabileşte procedura de soluţionare a chestiunilor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apar în timpul executării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unei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hotărâri judecătoreşti. Astfel, este evident că în cazul liberării de pedeapsa penală este vorba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despre executarea unei hotărâri judecătoreşti, generând de drept aplicarea normelor procesualpenale,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 acest sens. Prin intermediul normelor procesuale legiuitorul prevede indirect şi o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conotaţie procesuală a instituţiei liberării de pedeapsa penală, generând prevederi care stabilesc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competenţa instanei de judecată, drepturile şi obligaţiile procesuale ale participanţilor, problemele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legate de limba în care se desfăşoară şedinţa respectivă, obligativitatea participării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reprezentanţilor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etc., la examinarea chestiunilor legate de aplicarea liberării de pedeapsa penală.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 pofida faptului că există o multitudine de difiniţii în literatura de specialitate cu privire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instituţia liberării de pedeapsa penală, legea penală defineşte această instituţie în art. 89 CP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RM. Astfel, prin liberarea de pedeapsa penală se înţelege eliberarea persoanei care a săvârşit o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infracţiune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la executarea reală, parţială sau totală, a pedepsei penale pronunţate prin hotărâre 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instanţei de judecată [53]. Prin instituţia liberării de pedeapsă penală, desigur că, se reflectă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principiul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umanismului, ideilor social-raţionale şi economisirea măsurilor represive. În viziunea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autorului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Ciobanu I. prin liberarea de pedeapsa penală se reflectă modelul curativ al reacţiei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sociale antiinfracţionale, urmare căruia fiecărui infractor, trebuie să-i fie elaborat un tratament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individual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resocializare pe etape (de la individualizarea judiciară a pedepsei şi până la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individualizarea acesteia în timpul execuţie</w:t>
      </w:r>
      <w:r w:rsidR="00DA23B4">
        <w:rPr>
          <w:rFonts w:asciiTheme="majorHAnsi" w:hAnsiTheme="majorHAnsi" w:cs="TimesNewRomanPSMT"/>
          <w:sz w:val="32"/>
          <w:szCs w:val="32"/>
        </w:rPr>
        <w:t xml:space="preserve">i) 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 xml:space="preserve">Totodată,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menţionat faptul că, instituţia liberării de pedeapsă penală este reflectată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în majoritatea legislaţiilor statelor contemporane, care are rădăcini istorice adânci. Aceasta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legat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realizarea scopurilor pedepsei penale, fără a fi necesară excutarea pedepsei penale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către cel condamnat. În unele cazuri scopul prevenirii infracţiunii şi corectarea condamnatului pot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fi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realizate fără executarea reală a pedepsei, deoarece executarea pe viitor a hotărârii instanţei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judecată va intra în contradicţie cu sarcina reintegrării sociale mai curândă a infractorului. Este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cunoscut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că pedeapsa penală (în special închisoarea) pe departe este una dintre soluţiile cele mai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optime pentru reeducarea condamnatului în direcţia pozitivă. De aici rezultă că majoritatea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sistemelor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drept penal consideră raţional şi acceptabil liberarea de pedeapsă penală 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condamnatului înainte de termen. În aşa fel, după cum susţin autorii Кудрявцев В.Н. şi Наумова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А.В. însemnătatea instituţiei liberării de pedeapsă penală se determină atât prin prezenţa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stimulării corectării condamnatului, cât şi excluderii aplicării pedepsei penale în cazul în care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necesitatea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reală nu există în vederea atingerii scopului legii penale [198, p.384]. Astfel, putem fi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 acord cu poziţia autorului în cauză, care susţine că scopul pedepsei poate fi atins şi fără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executarea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reală a pedepsei penale, stabilite de instanţa de judecată, care va face ca persoana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condamnată să poată fi, ulterior, mai uşor încadrată în societate.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Liberarea de pedeapsă penală a persoanei care a săvârşit infracţiunea reprezintă exclusiv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competenţa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instanţei de judecată, în afară de liberarea de pedeapsă penală în baza actului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amnistie sau de graţiere. După cum susţin autorii Рарог А.И. şi Сткпалин В.П. temeiul general al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liberării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pedeapsă penală îl reprezintă iraţionalitatea sau imposibilitatea numirii ori executării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pedepsei penale persoanei care a săvârşit infracţiunea. Aceasta reiese din aceea că ea nu mai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prezintă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pericol social sau s-a redus, în mod esenţial, acest pericol din partea celui care a săvârşit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fapta ilegală ori i s-a înrăutăţit sănătatea acestei persoane, precum şi din alte motive prevăzute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lege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. Semnificaţia socială, după cum susţin autorii nominalizaţi, rezidă în aceea că instituţia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liberării de pedeapsa penală urmăreşte limitarea aplicării măsurilor penale represive şi stimularea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reeducării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persoanelor care au săvârşit o infracţiunne prin sprijinul acordat de adaptare la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condiţiile normelor de conduită socială prin neaplicarea pedepsei penale când aceasta nu este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raţională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[215, p.197-198]. Această poziţie o putem susţine şi noi, deoarece prin neaplicarea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măsurii penale represive persoanei care a săvârşit o infracţiune se poate realiza atât principiile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dreptului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penal, cât şi resocializarea făptuitorului şi adaptarea mai curândă la normele sociale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convieţuire prin prisma respectării de către aceasta a ordinei de drept. Persoana fiind liberată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pedeapsa penală în primul rând, această şansă, îi oferă posibilitatea de a înţelege cele făcute şi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 nu mai săvârşi din nou o infracţiune, în al doilea rând aceasta îl face să fie mai responsabil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acţiunile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sale şi îi oferă siguranţă prin menţinerea serviciului de muncă, evitării divorţului şi 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altor condiţii oportune pentru el.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O semnificaţie importantă o are şi cea juridică, care rezidă în aceea că persoana fiind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liberată de pedeapsa penală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considerată, conform legii, ca persoană care nu are antecedente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penale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(p.1.lit a art.111 CPRM). Reieşind din această stipulare legală, se poate spune că persoana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neavând antecedente penale nu are restricţii în vederea angajării lui în unele funcţii publice sau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practicării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unei activităţi specifice pentru care în privinţa celor care au antecedente penale se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prevăd restricţii.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Deşi p.1 al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111 din Codul penal al RM se referă la situaţia unei categorii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pedeapsa penală, p.2 al aceluiaşi articol se referă la condamnaţii liberaţi înainte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termen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şi la cei, cărora li s-a înlocuit partea din pedeapsă neexecutată cu o pedeapsă mai blândă.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Astfel, în privinţa acestor condamnaţi termenele de stingere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antecedentelor penale se vor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calcula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, pornindu-se de la termenul real al pedepsei executate sau din momentul liberării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executarea pedepsei principale şi complementare. Cât priveşte stingerea antecedentelor penale, în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privinţa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celor condamnaţi cărora li s-a aplicat suspendarea condiţionată a executării pedepsei,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aceasta are loc doar în cazul în care în termenul de probă această suspendare condiţionată 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executării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pedepsei nu a fost anulată.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Din cele invocate mai sus, în privinţa liberării de pedeapsă penală se pronunţă autorul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Macari I., care consideră că instituţia liberarării de pedeapsa penală reprezintă o instituţie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sine stătătoare în legea penală, prevăzută de Capitolul IX al Codului penal al Republicii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Moldova [109, p.331]. La rândul său liberarea de pedeapsa penală, în viziunea autoarei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Лесниевский-Костарева Т.А. reprezintă liberarea de către instanţa de judecată a persoanei,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supuse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răspunderii penale, de executarea pedepsei, total sau parţial reieşind din iraţionalitatea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aplicării acesteia. Iraţionalitatea pedepsei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legată de atingerea scopului pedepsei, stabilit în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legea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penală prin: restabilirea echităţii sociale, corectarea condamnatului şi prevenirea de noi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infracţiuni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. Astfel, dacă scopurile indicate pot fi atinse şi fără executarea totală sau parţială 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pedepsei, executarea reală a pedepsei se recunoaşte a fi iraţională [202, p.237]. Prin urmare,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pedeapsa penală constă în eliberarea condamnatului de pedeapsă sau de aplicarea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acesteia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, ori de executarea deplină a măsurii de pedeapsă stabilită de lege.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Astfel,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aplicabilitatea acesteia având loc atât în momentul condamnării persoanei vinovate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săvârşirea unei infracţiuni, cât şi în </w:t>
      </w:r>
      <w:r w:rsidR="00DA23B4">
        <w:rPr>
          <w:rFonts w:asciiTheme="majorHAnsi" w:hAnsiTheme="majorHAnsi" w:cs="TimesNewRomanPSMT"/>
          <w:sz w:val="32"/>
          <w:szCs w:val="32"/>
        </w:rPr>
        <w:t xml:space="preserve">timpul executării pedepsei c </w:t>
      </w:r>
      <w:r w:rsidRPr="00025D40">
        <w:rPr>
          <w:rFonts w:asciiTheme="majorHAnsi" w:hAnsiTheme="majorHAnsi" w:cs="TimesNewRomanPSMT"/>
          <w:sz w:val="32"/>
          <w:szCs w:val="32"/>
        </w:rPr>
        <w:t>închisoarea.</w:t>
      </w:r>
      <w:proofErr w:type="gramEnd"/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 conformitate cu Codul Penal al Republicii Moldova în vigoare din 12 iunie 2003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potrivit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pct.2 art. 89 liberarea de pedeapsă penală se efectuează prin următoarele modalităţi: a)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condamnarea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cu suspendarea condiţionată a executării pedepsei; b) liberarea condiţionată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înainte de termen; c) înlocuirea părţii neexecutate din pedeapsă cu o pedeapsă mai blîndă; d)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pedeapsă a minorilor; e) liberarea de pedeapsă datorită schimbării situaţiei: f)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liberarea de la executarea pedepsei a persoanelor grav bolnave; g) amânarea executării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pedepsei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penale pentru femei gravide şi femei care au copii în vârstă de până la 8 ani.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Deşi enumerarea exhaustivă a modalităţilor liberării de pedeapsa penală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reflectată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în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art.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89 CP RM, aceasta nu prevede o astfel de instituţie, precum prescripţia executării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sentinţei de condamnare, prevăzută de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97 CP RM, care, de altfel,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prevăzută în acelaşi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capitol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precum toate celelalte modalităţi ale liberării de pedeapsa penală menţionate.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Considerăm că instituţia penală prevăzută de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97 CP RM reprezintă şi ea o modalitate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pedeapsa penală.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Aceasta se dovedeşte şi prin prevederile legale în acest sens,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prevăzute de pct. (16)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469;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471 CPP RM,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are loc printr-o încheiere judecătorească.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Totodată, apreciem că în cazul în care sunt întrunite condiţiile cu privire la prescripţie,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legiuitorul se conduce de faptul că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iraţional punerea în executare a pedepsei penale,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stabilite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prin sentinţa de condamnare definitivă, datorită faptului că curgerea unui intervel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timp mare de la momentul săvârşirii infracţiuii şi până la punerea în executare a pedepsei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penale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sau de la liberare de pedeapsă şi până la însănătoşirea persoanei, ceea ce va diminua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mult atingerea cu desăvârşire a scopului pedepsei penale. Pedeapsa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nevoie să fie aplicată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cât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mai promt pentru a avea efectul său, de corectare şi reeducare, iar persoana liberată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 penală să nu fie supusă mai departe să execute pedeapsa neexecutată, deoarece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punerea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în executare se poate aprecia ca tardivă, ulterior, având loc anumite schimbări </w:t>
      </w:r>
      <w:r w:rsidR="00DA23B4">
        <w:rPr>
          <w:rFonts w:asciiTheme="majorHAnsi" w:hAnsiTheme="majorHAnsi" w:cs="TimesNewRomanPSMT"/>
          <w:sz w:val="32"/>
          <w:szCs w:val="32"/>
        </w:rPr>
        <w:t xml:space="preserve">positive  </w:t>
      </w:r>
      <w:r w:rsidRPr="00025D40">
        <w:rPr>
          <w:rFonts w:asciiTheme="majorHAnsi" w:hAnsiTheme="majorHAnsi" w:cs="TimesNewRomanPSMT"/>
          <w:sz w:val="32"/>
          <w:szCs w:val="32"/>
        </w:rPr>
        <w:t>în viaţa personală a condamnatului, care ar pune semne de întrebare dacă mai este nevoie să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execute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acea pedeapsa stabilită prin sentinţa de condamnare până la urmă.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Spre exemplu,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persoana condamnată şi, ulterior, liberată în baza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95 CP RM, în perioada de după liberare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poate schimba în comportament, să aibă o altă atitudine faţă de muncă, societate, astfel încât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va fi iraţional să execute pedeapsa rămasă neexecutată, ulterior, după însănătoşire. Cu atât mai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mult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persoana liberată, aflată în mediul social îşi poate schimba radical comportamentul,această liberare, ulterior, în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reintegrarea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sa socială.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Desigur, pentru astfel de situaţii legiuitorul oferă o soluţie raţională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prin prevederile pct. (4)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95 CP RM, prin faptul ca dacă s-a scurs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anumit interval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timp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la liberare până la însănătoşire şi această situaţie va cădea sub incidenţa prevederilor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art. 97 CP RM, persona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fie liberată de executarea părţii neexecutate din pedeapsa penală,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stabilită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instanţa de jduecată. Din cele menţionate se vede clar că instanţa de judecată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liberează persoana condamntă de executarea pedepsei mai departe, fapt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demonstrează ferm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locul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prescripţiei executării sentinţei de condamnare în totalitatea modalităţilor liberării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 penală.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Din cele enunţate, cu privire la spectrul modalităţilor liberării de pedeapsa penală,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merită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 specifica clar că prevederile art.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961CP RM, deşi se află în capitolul „Liberarea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 penală” nu poate fi catalogată ca modalitate a liberării de pedeapsa penală.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Aceasta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rezultă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din aceea că ea reprezintă o instituţie juridico-penală ce se referă la o măsură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internare într-o instituţie ftiziopneumologică, pentru contracararea răspândirii unei boli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periculoase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, precum este tuberculoza, în cadrul examinării chestiunii privind liberarea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 penală, potrivit prevederilor art. 91-96 CP RM.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Pornind de la faptul că, persoana condamnată poate fi liberată de pedeapsa penală,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destul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important a stabili, care este criteriul de bază sau argumentul ce ghidează o astfel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 </w:t>
      </w:r>
      <w:r w:rsidRPr="00025D40">
        <w:rPr>
          <w:rFonts w:asciiTheme="majorHAnsi" w:hAnsiTheme="majorHAnsi" w:cs="TimesNewRomanPSMT"/>
          <w:sz w:val="32"/>
          <w:szCs w:val="32"/>
        </w:rPr>
        <w:t>posibilitate. Desigur că, în acest caz, putem considera că pilonii temeiniciei liberării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pedeapsa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penală a persoanei condamnate ar putea fi că, ea nu mai prezintă un mare pericol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social sau că periculozitatea ei se reduce în aşa măsura, încât executarea, în continuare, 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pedepsei devine iraţională din punctul de vedere al atingerii scopurilor de bază ale pedepsei.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Totodată, legea penală la aplicarea liberării de pedeapsa penală, poate cere respectarea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criteriului categoriei infracţiunii faţă de care se poate aplica liberarea de pedeapsa penală (de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exemplu în cazul, art. 92; art 93; art. 94 CP RM), ceea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nu este obligatoriu în cazul aplicării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prevederilor art.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95 CP RM, liberarea de la executarea pedepsei a persoanelor grav bolnave.</w:t>
      </w:r>
      <w:proofErr w:type="gramEnd"/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 xml:space="preserve">Astfel, autorul Tipa I. constată că categoria infracţiunii săvârşite de condamnat joacă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un</w:t>
      </w:r>
      <w:proofErr w:type="gramEnd"/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rol principal la aplicarea liberării de pedeapsa penală, ea se dovedeşte a fi un instrument prin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persoanei condamnate i se acordă o şansă de schimbare a unui comportament ilegal în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unul legal, ulterior [155, p.18].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 xml:space="preserve">O particularitate esenţială a liberării de pedeapsa penală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faptul că ea reprezintă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instrumentul cu care poate opera doar instanţa de judecată. Deşi aplicabilitatea acesteia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legată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faptul că numai instanţa de judecată o poate face, în funcţie de anumite situaţii ea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poate să devină fie un drept al ei, fie o obligaţie. Astfel, toate celelalte modalităţi ale liberării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pedeapsa penală reprezintă un drept al instanţei de judecată cu excepţia liberării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pedeapsa penală în condiţiile pct. (1) art.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95 CP RM şi a liberării de pedeapsa penală în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legătură cu scurgerea termenului de prescripţie, potrivit prevederilor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97 CP RM, care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reprezintă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o obligaţie a instanţei de judecată.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Liberarea de pedeapsa penală poate fi condiţionată şi necondiţionată.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Liberarea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necondiţionată nu presupune anumite cerinţe privitor la conduita ulterioară a persoanei.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Însă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liberarea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condiţionată solicită anumite cerinţe persoanei după liberarea ei de pedeapsă penală,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privitor la conduita ei în termenul de încercare. Dacă aceste cerinţe (condiţii) nu sânt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respectate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ea, instituţia de drept penal în cauză îşi pierde importanţa juridică şi persoana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vinovată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este silită prin hotărârea judecătorească să continue executarea pedepsei penale,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stabilite de judecată [109, p.332]. Pe deplin susţinem ideea autorului Macari I., cu referire la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condiţionalitatea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sau necondiţionalitatea liberării de pedeapsa penală, însă această afirmaţie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trebuie văzută sub un aspect şi mai larg, adică să nu fie văzută doar pentru acele modalităţi,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au un termen de încercare, dar şi pentru celelalte, care nu sunt legate de un termen anumit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 încercare, fiind considerate ca liberări parţiale sau totale de liberarea de pedeapsa penală.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Astfel, susţinem accepţiunea că, condiţionalitatea liberării de pedeapsa penală se referă la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situaţia în care cel liberat de pedeapsa penală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dator să respecte anumite cerinţe (obligaţii)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cu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referire la o astfel de liberare, îndeplinirea cărora ţine de momentul după aplicarea liberării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 pedeapsa penală, căreia dacă se va încălca acestea va urma revocarea (anularea) liberării de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pedeapsa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penală. Cât priveşte necondiţionalitatea liberării de pedeapsa penală, aceasta din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urmă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legată de faptul că odată liberată persoana condamnatului de pedeapsa penală,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prevăzută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lege pentru infracţiunea săvârşită, nu se va mai putea reveni la executarea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pedepsei stabilite de instanţa de judecată prin sentinţa de condamnare sau la pedeapsa pentru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persoana condamnatului a fost liberată.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În acelaşi timp, considerăm că la modalităţile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liberării de pedeapsa penală condiţionată se referă instituţiile prevăzute de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90; 91; 95; 96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 xml:space="preserve">CP RM, iar la cele necondiţionate: art.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92; 93; 94; 97 CP RM.</w:t>
      </w:r>
      <w:proofErr w:type="gramEnd"/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 xml:space="preserve">O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altă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particularitate a instituţiei liberării de pedeapsa penală este că, ea poate fi aplicată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odată cu pronunţarea sentinţei de condamnare sau până la executarea totală a pedepsei.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Particularitatea în cauză, distinge instituţia liberării de pedeapsa penală în cel puţin două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categorii una dintre care ar fi: cele aplicate exclusiv în timpul pronunţării sentinţei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condamnare a persoanei vinovate de săvârşirea infracţiunii (art. 90; 93; 94 CP RM) şi cele care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se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aplică în timpul executării pedepsei penale pronunţate de instanţa de judecată, în timpul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pronunţării sentinţei de condamnare sau după condamnarea definitivă (art. 91; 92; 95; 96; 97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CP RM).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Cât priveşte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ce-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a de-a doua categorie, atunci putem menţiona faptul că, la rândul său,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poate fi clasificată în următoarele categorii: modalităţi ce pot fi aplicate atât în timpul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pronunţării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sentinţei de condamnare, cât şi în timpul executării pedepsei stabilite prin sentinţa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de condamnare (art. 95; art. 96 CP RM); modalităţi ale liberării de pedeapsa penală aplicate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exclusiv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în timpul executării pedepsei pronunţate prin sentinţa de condamnare (art. 91; art. 92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CP RM); modalităţi ale liberării de pedeapsa penală aplicate exclusiv după condamnarea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definitivă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(art. 97 CP RM).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Instituţia liberării de pedeapsa penală include şi posibilitatea liberării persoanei în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întregime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sau parţial, de pedeapsa complementară.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Ca exemplu, pct. (1)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91; pct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.(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1) art. 92 CP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RM. În alte cazuri, instanţa de judecată, călăuzindu-se de prevederile pct. (2)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78 CP RM, şi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doar în situaţia în care constată circumstanţe atenuante la săvârşirea infracţiunii, poate înlătura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pedeapsa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complementară, prevăzută de lege pentru infracţiunea săvârşită.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interes aparte îl reprezintă posibilitatea aplicării instituţiei liberării de pedeapsa penală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faţă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toţi condamnaţii sau numai faţă de anumite categorii de condamnaţi. Astfel, prin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abordarea în cauză se pot distinge câteva criterii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determină cercul persoanelor faţă de care se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poate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aplica una sau alta din modalităţile liberării de pedeapsa penală. Printre acestea se regăsesc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criteriul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: vârstei, genului, sănătăţii, restricţiei. În acelaşi timp,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menţionat faptul că criteriile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 cauză de fiecare dată sunt cumultative cu cel mai important criteriu din cele menţionate, cel al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restricţiei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. Spre exemplu, criteriul vârstei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inerent liberării de pedeapsa penală, potrivit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prevederilor art. 93 CP RM, deoarece se aplică numai faţă de minori, iar criteriul restricţiei se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referă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la categoria infracţiunii faţă de care se poate aplica această modalitate a liberării. În cazul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aplicării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prevederilor art. 96 CP RM, în afara de criteriul restricţiei (ex: categoria infracţiunii,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pedeapsa) se întruneşte şi cel al genului (femei gravide şi femei care au copii în vârstă de până la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8 ani), în cazul aplicării prevederilor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95 CP RM, criteriul sănătăţii se manifestă pe deplin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(sănătatea condamnatului - boala gravă de care suferă), iar cel a restricţiei (indirect – pentru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persoanale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liberate de pedeapsă potrivit art.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95 CP RM şi care din nou au săvârşit o faptă penală).</w:t>
      </w:r>
      <w:proofErr w:type="gramEnd"/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Celelalte modalităţi ale liberării de pedeapsa penală se ghidează de cel mai important criteriu, cel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restricţionării.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 exemplu,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90 CP RM nu se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va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putea aplica faţă de persoanele condamnate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pentru infracţiuni intenţionate, pedeapsa căreia va depăşi termenul de 5 ani sau în cazul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infracţiunilor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din imprudenţă care va depăşi 7 ani, or, dacă persoana condamnatului a săvârşit o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infracţiune de categoria celor deosebit de grave, excepţional de gravă sau în cazul recidivei. În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cazul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aplicării art. 91 CP RM se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va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ţine cont de faptul dacă s-a reparat integral dauna cauzată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infracţiunea săvârşită sau dacă condamnatul a participat la munci neremunerate sau remunerate în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penitenciar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, or în cazul aplicării prevederilor art. 97 CP RM, nu se aplică faţă de persoanele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au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săvârşit infracţiuni prevăzute de art. 135-137, 139 şi 143 CP RM.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Pentru instituţia dreptului penal pe care o examinăm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caracteristic şi faptul că aceasta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este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reglementată de o bază normativă complexă. Temeiurile şi condiţiile liberării de pedeapsa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penală, după cum s-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arătat anterior, sunt reglementate de normele dreptului penal (art. 90, art.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91,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92,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93,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94,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95,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96, art.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97 din CP al RM), ordinea şi procedura executării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acesteia sunt prevăzute în legislaţia procesual-penală a Republicii Moldova (art. 389, 394, 469-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471, 486, 487, 491 din CPP al RM), precum şi în Codul de executare al RM (art. 169, 170, 278-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291, 295) [40, p.502-503].</w:t>
      </w:r>
      <w:proofErr w:type="gramEnd"/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lastRenderedPageBreak/>
        <w:t>În opinia autorilor ruşi Ветров Н.И., Ляпунов Ю.И., liberarea de pedeapsa penală poate fi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obligatorie sau facultativă.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La prima grupă se referă acele modalităţi de liberare de pedeapsă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penală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, care se aplică într-o ordine obligatorie de către instanţa de judecată (liberarea de pedeapsa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penală a persoanelor grav bolnave, liberarea de la executarea pedepsei în legătură cu scurgerea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termenului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prescripţie a executării sentinţei de condamnare). Însă celelalte modalităţi de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 xml:space="preserve">liberare de pedeapsa penală se consideră facultative, deci în aşa fel ele prezintă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un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drept dar nu o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obligaţiune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a fi aplicate de către instanţa de judecată (liberarea condiţionată de pedeapsă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înainte de termen, înlocuirea părţii neexecutate din pedeapsă cu o pedeapsă mai blândă, liberarea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de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pedeapsă a minorilor, liberarea condiţionată de pedeapsă înainte de termen a minorilor [179,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>p.231-232].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Din cele enunţate, ajungem la următoarea concluzie că instituţia liberării de pedepsa penală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are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o abordare adecvată în literatura de specialitate, reieşind şi din politica penală pe care o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promovează legiuitorul în cazul săvârşirii de către cel vinovat a unei infracţiuni. Modalităţile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liberării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de pedeaspa penală prevăzute de legea penală a RM, oferă posibilitatea să spunem că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spectrul acestora este unul ce pote fi îmbunătăţit, deşi în acest sens, legiuitorul operează cu un şir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satisfăcător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al lor prevăzut în art. 89 CP RM. Rezervele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pot fi reţinute asupra instituţiei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nominalizate se referă atât la totalitatea modalităţilor ce necesită a fi reflectate în articolul 89 CP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r w:rsidRPr="00025D40">
        <w:rPr>
          <w:rFonts w:asciiTheme="majorHAnsi" w:hAnsiTheme="majorHAnsi" w:cs="TimesNewRomanPSMT"/>
          <w:sz w:val="32"/>
          <w:szCs w:val="32"/>
        </w:rPr>
        <w:t xml:space="preserve">RM cât şi a condiţiilor de aplicare </w:t>
      </w: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a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acestora. Abordarea</w:t>
      </w:r>
    </w:p>
    <w:p w:rsidR="00025D40" w:rsidRPr="00025D40" w:rsidRDefault="00025D40" w:rsidP="00025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conceptuală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 xml:space="preserve"> a instituţiei liberării </w:t>
      </w:r>
      <w:r w:rsidR="00DA23B4">
        <w:rPr>
          <w:rFonts w:asciiTheme="majorHAnsi" w:hAnsiTheme="majorHAnsi" w:cs="TimesNewRomanPSMT"/>
          <w:sz w:val="32"/>
          <w:szCs w:val="32"/>
        </w:rPr>
        <w:t xml:space="preserve">de pedeapsa penală conduce spre </w:t>
      </w:r>
      <w:r w:rsidRPr="00025D40">
        <w:rPr>
          <w:rFonts w:asciiTheme="majorHAnsi" w:hAnsiTheme="majorHAnsi" w:cs="TimesNewRomanPSMT"/>
          <w:sz w:val="32"/>
          <w:szCs w:val="32"/>
        </w:rPr>
        <w:t>ideea raţionalităţii prezenţei</w:t>
      </w:r>
      <w:r w:rsidR="00DA23B4">
        <w:rPr>
          <w:rFonts w:asciiTheme="majorHAnsi" w:hAnsiTheme="majorHAnsi" w:cs="TimesNewRomanPSMT"/>
          <w:sz w:val="32"/>
          <w:szCs w:val="32"/>
        </w:rPr>
        <w:t xml:space="preserve"> </w:t>
      </w:r>
      <w:r w:rsidRPr="00025D40">
        <w:rPr>
          <w:rFonts w:asciiTheme="majorHAnsi" w:hAnsiTheme="majorHAnsi" w:cs="TimesNewRomanPSMT"/>
          <w:sz w:val="32"/>
          <w:szCs w:val="32"/>
        </w:rPr>
        <w:t>acestei instituţii în legea penală a Republicii Moldova drept o formă de realizare a răspunderii</w:t>
      </w:r>
    </w:p>
    <w:p w:rsidR="001A34C5" w:rsidRPr="00025D40" w:rsidRDefault="00025D40" w:rsidP="00025D40">
      <w:pPr>
        <w:jc w:val="both"/>
        <w:rPr>
          <w:rFonts w:asciiTheme="majorHAnsi" w:hAnsiTheme="majorHAnsi"/>
          <w:sz w:val="32"/>
          <w:szCs w:val="32"/>
        </w:rPr>
      </w:pPr>
      <w:proofErr w:type="gramStart"/>
      <w:r w:rsidRPr="00025D40">
        <w:rPr>
          <w:rFonts w:asciiTheme="majorHAnsi" w:hAnsiTheme="majorHAnsi" w:cs="TimesNewRomanPSMT"/>
          <w:sz w:val="32"/>
          <w:szCs w:val="32"/>
        </w:rPr>
        <w:t>penale</w:t>
      </w:r>
      <w:proofErr w:type="gramEnd"/>
      <w:r w:rsidRPr="00025D40">
        <w:rPr>
          <w:rFonts w:asciiTheme="majorHAnsi" w:hAnsiTheme="majorHAnsi" w:cs="TimesNewRomanPSMT"/>
          <w:sz w:val="32"/>
          <w:szCs w:val="32"/>
        </w:rPr>
        <w:t>.</w:t>
      </w:r>
    </w:p>
    <w:p w:rsid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BIBLIOGRAFIE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>1. Ansamblul de Reguli Minime pentru tratamentul deţinuţilor şi recomandările referitoare la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acesta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>, Rezoluţia Adunării Generale a ONU din 30 august 1955, Nr. 415 (V).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lastRenderedPageBreak/>
        <w:t>2. Ansamblul Regulilor Minime ale Naţiunilor Unite cu privire la administrarea justiţiei pentru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minori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(Regulile de la Beijing), Rezoluţia Adunării Generale a ONU din 29 noiembrie 1985,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Nr. 40/33.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>3. Anghel N. Dreptul Executării Sancţiunilor Penale. Bucureşti: Universitatea Titu Maiorescu,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>2002. 536 p.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 xml:space="preserve">4. Arhiva Judecătoriei Iloveni.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1 - 120/2009.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5.Arhiva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Judecătoriei Ialoveni.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1 – 48/2004.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6.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1 – 397/06.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7.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1 – 692/07.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8.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1-219 din 2007.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9.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1-589/2007.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10.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1-153 din 2007.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11.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3-28/07.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12. Arhiva Curţii de Apel Chişinău.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21r-95/07.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13. Arhiva Curţii de Apel Chişinău.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21r-105/07.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14.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3-55/07.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15.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3-10/07.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16.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3-67/07.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17.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3-8/07.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18. Arhiva Curţii de Apel Chişinău.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21r-111/07.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19.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3-6/07.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20.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3-50/07.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21. Arhiva Curţii de Apel Chi</w:t>
      </w:r>
      <w:r>
        <w:rPr>
          <w:rFonts w:asciiTheme="majorHAnsi" w:hAnsiTheme="majorHAnsi" w:cs="TimesNewRomanPSMT"/>
          <w:sz w:val="28"/>
          <w:szCs w:val="28"/>
        </w:rPr>
        <w:t>şiănu.</w:t>
      </w:r>
      <w:proofErr w:type="gramEnd"/>
      <w:r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>
        <w:rPr>
          <w:rFonts w:asciiTheme="majorHAnsi" w:hAnsiTheme="majorHAnsi" w:cs="TimesNewRomanPSMT"/>
          <w:sz w:val="28"/>
          <w:szCs w:val="28"/>
        </w:rPr>
        <w:t xml:space="preserve"> 21r-127/07.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22. Arhiv Curţii de Apel Chişinău.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21r-146/07.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 xml:space="preserve">23. Arhiva Judecătoriei Buiucani.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3-42/07.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24.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3c-35/07.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25.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3d – 3/07.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26.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3a – 51/07.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27.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3b-75/08.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28.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3b-25/08.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29. Arhiva Judecătoriei sectorului Buiucani.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Dosarul,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3b-66/08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>30. Armaşu V. Minorii în structurile criminale organizate: probleme şi soluţii. În: Criminalitatea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organizată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şi economia tenebroasă în Republica Moldova: Tezele conf. ştiinţifico practice rep.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Chişinău, 1999, p.16.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lastRenderedPageBreak/>
        <w:t>31. Basarab M. Drept Penal General.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Vol II. Bucureşti: Lumina Lex, Bucureşti, 2001.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431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 xml:space="preserve">32. Basarab M. Drept penal.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Partea generală.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Vol.I. Cluj-Napoca: Lumina Lex, 1997.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480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 xml:space="preserve">33. Barbăneagră A., Berliba V., Gurschi C. şi alţii.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Codul penal comentat şi adnotat.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Chişinău: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Cartier, 2005.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656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>34. Barac L. Constantele şi variabilele dreptului penal. Partea generală partea specială,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Jurisprudenţa penală.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Bucureşti: ALL BECK, 2001.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764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35. Bălan A., Stănişor E., Mincă M., Penologie, ed. II-a.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Bucureşti: Oscar Print, 2003.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311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 xml:space="preserve">36. Bîrgău M., Carp S., Bulai I. Deţinutul şi drepturile sale.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Chişinău, 2003.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179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37. Boroi A. Drept Penal.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Partea Generală.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ed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. a II-a. Bucureşti: ALL BECK, 2000.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350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>38. Bodrodac A., Gherman M., Maldea N., Aldea C.T., Costa M.M., Stiuj V. Manual de drept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penal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Partea generală.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Chişinău: Tipografia Centrală, 2005.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512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39. Borodac A. Drept Penal.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Partea generală.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Chişinău: Ştiinţa, 1994.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368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 xml:space="preserve">40. Botnaru S., Grama M., Şavca A., Grosu V. Drept penal.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Partea generală.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Vol.I. Chişinău: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Cartier juridic, 2005.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624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 xml:space="preserve">41. Brezeanu O. Repere psiho-sociale. În: Studii de Drept Românesc.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2006, nr.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1-2, p. 18-19.</w:t>
      </w:r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 xml:space="preserve">42. Butiuc C. Elemente de drept penal. Bucureşti: Lumina Lex, 1998.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207 p.</w:t>
      </w:r>
      <w:proofErr w:type="gramEnd"/>
    </w:p>
    <w:p w:rsidR="00803D7F" w:rsidRPr="00803D7F" w:rsidRDefault="00803D7F" w:rsidP="00803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43. Bulai C. Drept Penal Român.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Partea generală.</w:t>
      </w:r>
      <w:proofErr w:type="gramEnd"/>
      <w:r w:rsidRPr="00803D7F">
        <w:rPr>
          <w:rFonts w:asciiTheme="majorHAnsi" w:hAnsiTheme="majorHAnsi" w:cs="TimesNewRomanPSMT"/>
          <w:sz w:val="28"/>
          <w:szCs w:val="28"/>
        </w:rPr>
        <w:t xml:space="preserve"> Vol.II. Bucureşti: ŞANSA SRL, 1992. </w:t>
      </w:r>
      <w:proofErr w:type="gramStart"/>
      <w:r w:rsidRPr="00803D7F">
        <w:rPr>
          <w:rFonts w:asciiTheme="majorHAnsi" w:hAnsiTheme="majorHAnsi" w:cs="TimesNewRomanPSMT"/>
          <w:sz w:val="28"/>
          <w:szCs w:val="28"/>
        </w:rPr>
        <w:t>224 p.</w:t>
      </w:r>
      <w:proofErr w:type="gramEnd"/>
    </w:p>
    <w:p w:rsidR="004763EF" w:rsidRPr="00803D7F" w:rsidRDefault="00803D7F" w:rsidP="00803D7F">
      <w:pPr>
        <w:jc w:val="both"/>
        <w:rPr>
          <w:rFonts w:asciiTheme="majorHAnsi" w:hAnsiTheme="majorHAnsi"/>
          <w:i/>
          <w:sz w:val="28"/>
          <w:szCs w:val="28"/>
        </w:rPr>
      </w:pPr>
      <w:r w:rsidRPr="00803D7F">
        <w:rPr>
          <w:rFonts w:asciiTheme="majorHAnsi" w:hAnsiTheme="majorHAnsi" w:cs="TimesNewRomanPSMT"/>
          <w:sz w:val="28"/>
          <w:szCs w:val="28"/>
        </w:rPr>
        <w:t>44. Bujor V., Buga L. Drept Penal Comparat. Chişinău: Universitatea de Criminologie, 2003. 100</w:t>
      </w:r>
    </w:p>
    <w:sectPr w:rsidR="004763EF" w:rsidRPr="00803D7F" w:rsidSect="001A5AB4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9E"/>
    <w:rsid w:val="00025D40"/>
    <w:rsid w:val="0002699E"/>
    <w:rsid w:val="000604F6"/>
    <w:rsid w:val="001A34C5"/>
    <w:rsid w:val="001A5AB4"/>
    <w:rsid w:val="00274BBD"/>
    <w:rsid w:val="004763EF"/>
    <w:rsid w:val="005A2EE1"/>
    <w:rsid w:val="00803D7F"/>
    <w:rsid w:val="00DA23B4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763E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i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763EF"/>
    <w:rPr>
      <w:rFonts w:ascii="Times New Roman" w:eastAsia="Times New Roman" w:hAnsi="Times New Roman" w:cs="Times New Roman"/>
      <w:b/>
      <w:i/>
      <w:iCs/>
      <w:sz w:val="28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763E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i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763EF"/>
    <w:rPr>
      <w:rFonts w:ascii="Times New Roman" w:eastAsia="Times New Roman" w:hAnsi="Times New Roman" w:cs="Times New Roman"/>
      <w:b/>
      <w:i/>
      <w:iCs/>
      <w:sz w:val="28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499-ABE3-4437-9C07-08FA48F0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5830</Words>
  <Characters>33233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5</cp:revision>
  <dcterms:created xsi:type="dcterms:W3CDTF">2012-05-02T19:18:00Z</dcterms:created>
  <dcterms:modified xsi:type="dcterms:W3CDTF">2014-11-04T20:25:00Z</dcterms:modified>
</cp:coreProperties>
</file>